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eastAsia"/>
          <w:lang w:val="en-US" w:eastAsia="zh-CN"/>
        </w:rPr>
      </w:pPr>
      <w:r>
        <w:rPr>
          <w:rFonts w:hint="eastAsia"/>
          <w:lang w:val="en-US" w:eastAsia="zh-CN"/>
        </w:rPr>
        <w:t>张颂扬 2021010913001</w:t>
      </w:r>
    </w:p>
    <w:p>
      <w:pPr>
        <w:rPr>
          <w:rFonts w:hint="eastAsia"/>
          <w:lang w:val="en-US" w:eastAsia="zh-CN"/>
        </w:rPr>
      </w:pPr>
      <w:r>
        <w:rPr>
          <w:rFonts w:hint="eastAsia"/>
          <w:lang w:val="en-US" w:eastAsia="zh-CN"/>
        </w:rPr>
        <w:t>车昊东 2021010913003</w:t>
      </w:r>
    </w:p>
    <w:p>
      <w:pPr>
        <w:rPr>
          <w:rFonts w:hint="default"/>
          <w:lang w:val="en-US" w:eastAsia="zh-CN"/>
        </w:rPr>
      </w:pPr>
      <w:r>
        <w:rPr>
          <w:rFonts w:hint="eastAsia"/>
          <w:lang w:val="en-US" w:eastAsia="zh-CN"/>
        </w:rPr>
        <w:t xml:space="preserve">席天昊 </w:t>
      </w:r>
      <w:bookmarkStart w:id="1" w:name="_GoBack"/>
      <w:bookmarkEnd w:id="1"/>
      <w:r>
        <w:rPr>
          <w:rFonts w:hint="eastAsia"/>
          <w:lang w:val="en-US" w:eastAsia="zh-CN"/>
        </w:rPr>
        <w:t>2021010913017</w:t>
      </w:r>
    </w:p>
    <w:p>
      <w:r>
        <w:rPr>
          <w:rFonts w:hint="eastAsia"/>
        </w:rPr>
        <w:t>一：</w:t>
      </w:r>
      <w:r>
        <w:t>Placental Pathology in Maternal Ornithine</w:t>
      </w:r>
    </w:p>
    <w:p>
      <w:r>
        <w:t>Transcarbamylase Deficiency</w:t>
      </w:r>
    </w:p>
    <w:p>
      <w:pPr>
        <w:pStyle w:val="6"/>
        <w:numPr>
          <w:ilvl w:val="0"/>
          <w:numId w:val="1"/>
        </w:numPr>
        <w:ind w:firstLineChars="0"/>
      </w:pPr>
      <w:r>
        <w:t>Abstract</w:t>
      </w:r>
      <w:r>
        <w:rPr>
          <w:rFonts w:hint="eastAsia"/>
        </w:rPr>
        <w:t>：一个妊娠期</w:t>
      </w:r>
      <w:r>
        <w:t>OTC缺乏症和胎盘病理的</w:t>
      </w:r>
      <w:r>
        <w:rPr>
          <w:rFonts w:hint="eastAsia"/>
        </w:rPr>
        <w:t>研究</w:t>
      </w:r>
    </w:p>
    <w:p>
      <w:pPr>
        <w:pStyle w:val="6"/>
        <w:numPr>
          <w:ilvl w:val="0"/>
          <w:numId w:val="1"/>
        </w:numPr>
        <w:ind w:firstLineChars="0"/>
      </w:pPr>
      <w:r>
        <w:t>Introduction</w:t>
      </w:r>
      <w:r>
        <w:rPr>
          <w:rFonts w:hint="eastAsia"/>
        </w:rPr>
        <w:t>：鸟氨酸氨基甲酰基酶</w:t>
      </w:r>
      <w:r>
        <w:t>(OTC)缺乏症是最常见的尿素循环紊乱，以x连锁的方式遗传。男性受到严重影响。女性表型从无症状到严重不等，症状可能由分娩等高代谢状态引发。关于妊娠期OTC缺乏症和胎盘病理的文献有限。</w:t>
      </w:r>
    </w:p>
    <w:p>
      <w:pPr>
        <w:pStyle w:val="6"/>
        <w:numPr>
          <w:ilvl w:val="0"/>
          <w:numId w:val="1"/>
        </w:numPr>
        <w:ind w:firstLineChars="0"/>
      </w:pPr>
      <w:r>
        <w:rPr>
          <w:rFonts w:hint="eastAsia"/>
        </w:rPr>
        <w:t>方法：在一个转诊中心检索了</w:t>
      </w:r>
      <w:r>
        <w:t>2000-2020年的病理记录，并确定了来自两名非处方药缺乏症杂合子母亲的三例胎盘病例。详细回顾了胎盘病理和产妇和新生儿史。</w:t>
      </w:r>
    </w:p>
    <w:p>
      <w:pPr>
        <w:pStyle w:val="6"/>
        <w:numPr>
          <w:ilvl w:val="0"/>
          <w:numId w:val="1"/>
        </w:numPr>
        <w:ind w:firstLineChars="0"/>
      </w:pPr>
      <w:r>
        <w:rPr>
          <w:rFonts w:hint="eastAsia"/>
        </w:rPr>
        <w:t>数据及开源代码：</w:t>
      </w:r>
      <w:r>
        <w:rPr>
          <w:rFonts w:hint="eastAsia"/>
        </w:rPr>
        <w:drawing>
          <wp:inline distT="0" distB="0" distL="0" distR="0">
            <wp:extent cx="5274310" cy="5151120"/>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a:xfrm>
                      <a:off x="0" y="0"/>
                      <a:ext cx="5274310" cy="5151135"/>
                    </a:xfrm>
                    <a:prstGeom prst="rect">
                      <a:avLst/>
                    </a:prstGeom>
                    <a:noFill/>
                    <a:ln>
                      <a:noFill/>
                    </a:ln>
                  </pic:spPr>
                </pic:pic>
              </a:graphicData>
            </a:graphic>
          </wp:inline>
        </w:drawing>
      </w:r>
    </w:p>
    <w:p>
      <w:pPr>
        <w:pStyle w:val="6"/>
        <w:ind w:left="360" w:firstLine="0" w:firstLineChars="0"/>
      </w:pPr>
      <w:r>
        <w:drawing>
          <wp:inline distT="0" distB="0" distL="0" distR="0">
            <wp:extent cx="5266055" cy="288290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a:xfrm>
                      <a:off x="0" y="0"/>
                      <a:ext cx="5266055" cy="2882900"/>
                    </a:xfrm>
                    <a:prstGeom prst="rect">
                      <a:avLst/>
                    </a:prstGeom>
                    <a:noFill/>
                    <a:ln>
                      <a:noFill/>
                    </a:ln>
                  </pic:spPr>
                </pic:pic>
              </a:graphicData>
            </a:graphic>
          </wp:inline>
        </w:drawing>
      </w:r>
    </w:p>
    <w:p>
      <w:pPr>
        <w:pStyle w:val="6"/>
        <w:ind w:left="360" w:firstLine="0" w:firstLineChars="0"/>
        <w:rPr>
          <w:rFonts w:hint="eastAsia"/>
        </w:rPr>
      </w:pPr>
      <w:r>
        <w:drawing>
          <wp:inline distT="0" distB="0" distL="0" distR="0">
            <wp:extent cx="5274945" cy="3830955"/>
            <wp:effectExtent l="0" t="0" r="190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5274945" cy="3830955"/>
                    </a:xfrm>
                    <a:prstGeom prst="rect">
                      <a:avLst/>
                    </a:prstGeom>
                    <a:noFill/>
                    <a:ln>
                      <a:noFill/>
                    </a:ln>
                  </pic:spPr>
                </pic:pic>
              </a:graphicData>
            </a:graphic>
          </wp:inline>
        </w:drawing>
      </w:r>
    </w:p>
    <w:p>
      <w:pPr>
        <w:pStyle w:val="6"/>
        <w:numPr>
          <w:ilvl w:val="0"/>
          <w:numId w:val="1"/>
        </w:numPr>
        <w:ind w:firstLineChars="0"/>
      </w:pPr>
      <w:r>
        <w:rPr>
          <w:rFonts w:hint="eastAsia"/>
        </w:rPr>
        <w:t>挑战问题及可能研究方向：对于有症状的母体</w:t>
      </w:r>
      <w:r>
        <w:t>OTC缺乏症，我们的研究结果强调了胎盘检查的必要性。由于胎盘内的血栓形成事件有可能与胎儿和新生儿内皮损伤相关，因此有必要高度怀疑新生儿血栓形成。</w:t>
      </w:r>
    </w:p>
    <w:p>
      <w:pPr>
        <w:pStyle w:val="6"/>
        <w:numPr>
          <w:ilvl w:val="0"/>
          <w:numId w:val="1"/>
        </w:numPr>
        <w:ind w:firstLineChars="0"/>
      </w:pPr>
      <w:r>
        <w:rPr>
          <w:rFonts w:hint="eastAsia"/>
        </w:rPr>
        <w:t>结论：一位有症状的母亲携带一个受累的男性胎儿，其胎盘显示不同年龄的广泛的高级别胎儿血管灌注不良</w:t>
      </w:r>
      <w:r>
        <w:t>(FVM)病变。在无症状母亲的两个胎盘中未观察到这些病变。</w:t>
      </w:r>
    </w:p>
    <w:p>
      <w:r>
        <w:rPr>
          <w:rFonts w:hint="eastAsia"/>
        </w:rPr>
        <w:t>二：</w:t>
      </w:r>
      <w:r>
        <w:t>Listeria monocytogenes at the interface between</w:t>
      </w:r>
    </w:p>
    <w:p>
      <w:r>
        <w:t>ruminants and humans: A comparative</w:t>
      </w:r>
    </w:p>
    <w:p>
      <w:r>
        <w:t>pathology and pathogenesis review</w:t>
      </w:r>
    </w:p>
    <w:p>
      <w:r>
        <w:t>1.</w:t>
      </w:r>
      <w:r>
        <w:tab/>
      </w:r>
      <w:r>
        <w:t>Abstract：</w:t>
      </w:r>
      <w:r>
        <w:rPr>
          <w:rFonts w:hint="eastAsia"/>
        </w:rPr>
        <w:t>关于单核增生李斯特菌</w:t>
      </w:r>
      <w:r>
        <w:t>(Lm)</w:t>
      </w:r>
      <w:r>
        <w:rPr>
          <w:rFonts w:hint="eastAsia"/>
        </w:rPr>
        <w:t>生态学和导致的疾病的发病机制</w:t>
      </w:r>
    </w:p>
    <w:p>
      <w:r>
        <w:t>2.</w:t>
      </w:r>
      <w:r>
        <w:tab/>
      </w:r>
      <w:r>
        <w:t xml:space="preserve">Introduction： </w:t>
      </w:r>
      <w:bookmarkStart w:id="0" w:name="OLE_LINK1"/>
      <w:r>
        <w:rPr>
          <w:rFonts w:hint="eastAsia"/>
        </w:rPr>
        <w:t>单核增生李斯特菌</w:t>
      </w:r>
      <w:r>
        <w:t>(Lm)</w:t>
      </w:r>
      <w:bookmarkEnd w:id="0"/>
      <w:r>
        <w:t>作为腐生植物广泛分布在环境中，但也可能变成致命的</w:t>
      </w:r>
      <w:r>
        <w:rPr>
          <w:rFonts w:hint="eastAsia"/>
        </w:rPr>
        <w:t>摄取细胞内病原体。侵入性感染发生在世界各地的许多物种中，但最常见的是人类以及饲养的反刍动物，并以不同的形式表现出来。其中，神经感染由于其高死亡率。</w:t>
      </w:r>
      <w:r>
        <w:t>Lm不仅作为一种病原体，而且作为细胞内感染和宿主-病原体的重要模型被广泛研究</w:t>
      </w:r>
      <w:r>
        <w:rPr>
          <w:rFonts w:hint="eastAsia"/>
        </w:rPr>
        <w:t>。然而，其生态学和发病机制的许多方面仍然不清楚，很少在其自然中得到解决本文综述了</w:t>
      </w:r>
      <w:r>
        <w:t>Lm与环境的关系，强调了Lm的异质性和适应性。</w:t>
      </w:r>
    </w:p>
    <w:p>
      <w:r>
        <w:t>3.</w:t>
      </w:r>
      <w:r>
        <w:tab/>
      </w:r>
      <w:r>
        <w:t xml:space="preserve">方法： </w:t>
      </w:r>
      <w:r>
        <w:rPr>
          <w:rFonts w:hint="eastAsia"/>
        </w:rPr>
        <w:t>显微观察、实地临床调研</w:t>
      </w:r>
    </w:p>
    <w:p>
      <w:r>
        <w:t>4.</w:t>
      </w:r>
      <w:r>
        <w:tab/>
      </w:r>
      <w:r>
        <w:t>数据及开源代码：</w:t>
      </w:r>
    </w:p>
    <w:p>
      <w:r>
        <w:t xml:space="preserve"> </w:t>
      </w:r>
      <w:r>
        <w:drawing>
          <wp:inline distT="0" distB="0" distL="0" distR="0">
            <wp:extent cx="3192145" cy="3056255"/>
            <wp:effectExtent l="0" t="0" r="825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3192145" cy="3056255"/>
                    </a:xfrm>
                    <a:prstGeom prst="rect">
                      <a:avLst/>
                    </a:prstGeom>
                    <a:noFill/>
                    <a:ln>
                      <a:noFill/>
                    </a:ln>
                  </pic:spPr>
                </pic:pic>
              </a:graphicData>
            </a:graphic>
          </wp:inline>
        </w:drawing>
      </w:r>
    </w:p>
    <w:p>
      <w:r>
        <w:drawing>
          <wp:inline distT="0" distB="0" distL="0" distR="0">
            <wp:extent cx="5270500" cy="6383655"/>
            <wp:effectExtent l="0" t="0" r="635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5270500" cy="6383655"/>
                    </a:xfrm>
                    <a:prstGeom prst="rect">
                      <a:avLst/>
                    </a:prstGeom>
                    <a:noFill/>
                    <a:ln>
                      <a:noFill/>
                    </a:ln>
                  </pic:spPr>
                </pic:pic>
              </a:graphicData>
            </a:graphic>
          </wp:inline>
        </w:drawing>
      </w:r>
    </w:p>
    <w:p>
      <w:r>
        <w:drawing>
          <wp:inline distT="0" distB="0" distL="0" distR="0">
            <wp:extent cx="5270500" cy="6375400"/>
            <wp:effectExtent l="0" t="0" r="6350" b="635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5270500" cy="6375400"/>
                    </a:xfrm>
                    <a:prstGeom prst="rect">
                      <a:avLst/>
                    </a:prstGeom>
                    <a:noFill/>
                    <a:ln>
                      <a:noFill/>
                    </a:ln>
                  </pic:spPr>
                </pic:pic>
              </a:graphicData>
            </a:graphic>
          </wp:inline>
        </w:drawing>
      </w:r>
    </w:p>
    <w:p>
      <w:pPr>
        <w:rPr>
          <w:rFonts w:hint="eastAsia"/>
        </w:rPr>
      </w:pPr>
      <w:r>
        <w:drawing>
          <wp:inline distT="0" distB="0" distL="0" distR="0">
            <wp:extent cx="5274945" cy="6282055"/>
            <wp:effectExtent l="0" t="0" r="1905" b="444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5274945" cy="6282055"/>
                    </a:xfrm>
                    <a:prstGeom prst="rect">
                      <a:avLst/>
                    </a:prstGeom>
                    <a:noFill/>
                    <a:ln>
                      <a:noFill/>
                    </a:ln>
                  </pic:spPr>
                </pic:pic>
              </a:graphicData>
            </a:graphic>
          </wp:inline>
        </w:drawing>
      </w:r>
    </w:p>
    <w:p>
      <w:r>
        <w:t>5.</w:t>
      </w:r>
      <w:r>
        <w:tab/>
      </w:r>
      <w:r>
        <w:t>挑战问题及可能研究方向：</w:t>
      </w:r>
      <w:r>
        <w:rPr>
          <w:rFonts w:hint="eastAsia"/>
        </w:rPr>
        <w:t>李斯特菌感染的分子发病机制目前只知道一部分。对于新罗氏杆菌病来说尤其如此，它是最具破坏性和病理机制的疾病疾病的复杂形式。</w:t>
      </w:r>
      <w:r>
        <w:t>Lm的惊人多功能性是</w:t>
      </w:r>
      <w:r>
        <w:rPr>
          <w:rFonts w:hint="eastAsia"/>
        </w:rPr>
        <w:t>反映在它能迅速从腐生植物转变为条件致病菌能够在广泛的环境中生存宿主细胞包括免疫系统的成员通过不同的途径到达大脑。调查各种神经入侵途径和脑内扩散所涉及的机制和因素的研究将有助于神经李斯特菌病治疗新靶点的鉴定影响物种。在这种情况下，反刍动物可能提供有价值，但至今未被重视的动物模型人类感染研究。</w:t>
      </w:r>
    </w:p>
    <w:p>
      <w:r>
        <w:t>6.</w:t>
      </w:r>
      <w:r>
        <w:tab/>
      </w:r>
      <w:r>
        <w:t>结论：</w:t>
      </w:r>
      <w:r>
        <w:rPr>
          <w:rFonts w:hint="eastAsia"/>
        </w:rPr>
        <w:t>对李斯特菌病的发病机制有了更清晰的认识其分子流行病学在环境、反刍动物和人类之间的界面将促进其发展采取有效的监测和控制措施预防疾病在反刍动物中传播，与传播给人类。</w:t>
      </w:r>
    </w:p>
    <w:p>
      <w:r>
        <w:rPr>
          <w:rFonts w:hint="eastAsia"/>
        </w:rPr>
        <w:t>三：</w:t>
      </w:r>
      <w:r>
        <w:t xml:space="preserve">The American Society for </w:t>
      </w:r>
    </w:p>
    <w:p>
      <w:r>
        <w:t xml:space="preserve">Clinical Pathology 2020 Vacancy </w:t>
      </w:r>
    </w:p>
    <w:p>
      <w:r>
        <w:t xml:space="preserve">Survey of Medical Laboratories </w:t>
      </w:r>
    </w:p>
    <w:p>
      <w:r>
        <w:t>in the United States</w:t>
      </w:r>
    </w:p>
    <w:p>
      <w:r>
        <w:t>1.</w:t>
      </w:r>
      <w:r>
        <w:tab/>
      </w:r>
      <w:r>
        <w:t>Abstract：</w:t>
      </w:r>
      <w:r>
        <w:rPr>
          <w:rFonts w:hint="eastAsia"/>
        </w:rPr>
        <w:t>确定公司内劳动力短缺的程度和分布</w:t>
      </w:r>
    </w:p>
    <w:p>
      <w:r>
        <w:t>2.</w:t>
      </w:r>
      <w:r>
        <w:tab/>
      </w:r>
      <w:r>
        <w:t xml:space="preserve">Introduction： </w:t>
      </w:r>
      <w:r>
        <w:rPr>
          <w:rFonts w:hint="eastAsia"/>
        </w:rPr>
        <w:t>确定公司内劳动力短缺的程度和分布</w:t>
      </w:r>
    </w:p>
    <w:p>
      <w:r>
        <w:t>3.</w:t>
      </w:r>
      <w:r>
        <w:tab/>
      </w:r>
      <w:r>
        <w:t xml:space="preserve">方法： </w:t>
      </w:r>
      <w:r>
        <w:rPr>
          <w:rFonts w:hint="eastAsia"/>
        </w:rPr>
        <w:t>这项调查是由美国的美国临床病理学会科学、技术和公共政策研究所华盛顿特区，以及评估、测量和评估部门和数据是通过网络调查收集的能够报告实验室人员配备和认证情况的个人。</w:t>
      </w:r>
    </w:p>
    <w:p>
      <w:r>
        <w:t>4.</w:t>
      </w:r>
      <w:r>
        <w:tab/>
      </w:r>
      <w:r>
        <w:t xml:space="preserve">数据及开源代码： </w:t>
      </w:r>
    </w:p>
    <w:p>
      <w:r>
        <w:drawing>
          <wp:anchor distT="0" distB="0" distL="114300" distR="114300" simplePos="0" relativeHeight="251659264" behindDoc="0" locked="0" layoutInCell="1" allowOverlap="1">
            <wp:simplePos x="0" y="0"/>
            <wp:positionH relativeFrom="column">
              <wp:align>left</wp:align>
            </wp:positionH>
            <wp:positionV relativeFrom="paragraph">
              <wp:align>top</wp:align>
            </wp:positionV>
            <wp:extent cx="2526665" cy="2006600"/>
            <wp:effectExtent l="0" t="0" r="6985" b="0"/>
            <wp:wrapSquare wrapText="bothSides"/>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noChangeArrowheads="1"/>
                    </pic:cNvPicPr>
                  </pic:nvPicPr>
                  <pic:blipFill>
                    <a:blip r:embed="rId11" cstate="print">
                      <a:extLst>
                        <a:ext uri="{28A0092B-C50C-407E-A947-70E740481C1C}">
                          <a14:useLocalDpi xmlns:a14="http://schemas.microsoft.com/office/drawing/2010/main" val="0"/>
                        </a:ext>
                      </a:extLst>
                    </a:blip>
                    <a:srcRect l="23154" t="18304" r="28856" b="9985"/>
                    <a:stretch>
                      <a:fillRect/>
                    </a:stretch>
                  </pic:blipFill>
                  <pic:spPr>
                    <a:xfrm>
                      <a:off x="0" y="0"/>
                      <a:ext cx="2526665" cy="2006600"/>
                    </a:xfrm>
                    <a:prstGeom prst="rect">
                      <a:avLst/>
                    </a:prstGeom>
                    <a:noFill/>
                    <a:ln>
                      <a:noFill/>
                    </a:ln>
                  </pic:spPr>
                </pic:pic>
              </a:graphicData>
            </a:graphic>
          </wp:anchor>
        </w:drawing>
      </w:r>
      <w:r>
        <w:rPr/>
        <w:br w:type="textWrapping" w:clear="all"/>
      </w:r>
    </w:p>
    <w:p>
      <w:r>
        <w:drawing>
          <wp:anchor distT="0" distB="0" distL="114300" distR="114300" simplePos="0" relativeHeight="251660288" behindDoc="0" locked="0" layoutInCell="1" allowOverlap="1">
            <wp:simplePos x="0" y="0"/>
            <wp:positionH relativeFrom="column">
              <wp:align>left</wp:align>
            </wp:positionH>
            <wp:positionV relativeFrom="paragraph">
              <wp:align>top</wp:align>
            </wp:positionV>
            <wp:extent cx="1607820" cy="1892300"/>
            <wp:effectExtent l="0" t="0" r="0" b="0"/>
            <wp:wrapSquare wrapText="bothSides"/>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noChangeArrowheads="1"/>
                    </pic:cNvPicPr>
                  </pic:nvPicPr>
                  <pic:blipFill>
                    <a:blip r:embed="rId12" cstate="print">
                      <a:extLst>
                        <a:ext uri="{28A0092B-C50C-407E-A947-70E740481C1C}">
                          <a14:useLocalDpi xmlns:a14="http://schemas.microsoft.com/office/drawing/2010/main" val="0"/>
                        </a:ext>
                      </a:extLst>
                    </a:blip>
                    <a:srcRect l="31599" t="19362" r="37859" b="13005"/>
                    <a:stretch>
                      <a:fillRect/>
                    </a:stretch>
                  </pic:blipFill>
                  <pic:spPr>
                    <a:xfrm>
                      <a:off x="0" y="0"/>
                      <a:ext cx="1607820" cy="1892300"/>
                    </a:xfrm>
                    <a:prstGeom prst="rect">
                      <a:avLst/>
                    </a:prstGeom>
                    <a:noFill/>
                    <a:ln>
                      <a:noFill/>
                    </a:ln>
                  </pic:spPr>
                </pic:pic>
              </a:graphicData>
            </a:graphic>
          </wp:anchor>
        </w:drawing>
      </w:r>
      <w:r>
        <w:rPr/>
        <w:br w:type="textWrapping" w:clear="all"/>
      </w:r>
    </w:p>
    <w:p>
      <w:r>
        <w:drawing>
          <wp:anchor distT="0" distB="0" distL="114300" distR="114300" simplePos="0" relativeHeight="251661312" behindDoc="0" locked="0" layoutInCell="1" allowOverlap="1">
            <wp:simplePos x="0" y="0"/>
            <wp:positionH relativeFrom="column">
              <wp:align>left</wp:align>
            </wp:positionH>
            <wp:positionV relativeFrom="paragraph">
              <wp:align>top</wp:align>
            </wp:positionV>
            <wp:extent cx="1781175" cy="2124710"/>
            <wp:effectExtent l="0" t="0" r="9525" b="8890"/>
            <wp:wrapSquare wrapText="bothSides"/>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noChangeArrowheads="1"/>
                    </pic:cNvPicPr>
                  </pic:nvPicPr>
                  <pic:blipFill>
                    <a:blip r:embed="rId13" cstate="print">
                      <a:extLst>
                        <a:ext uri="{28A0092B-C50C-407E-A947-70E740481C1C}">
                          <a14:useLocalDpi xmlns:a14="http://schemas.microsoft.com/office/drawing/2010/main" val="0"/>
                        </a:ext>
                      </a:extLst>
                    </a:blip>
                    <a:srcRect l="30313" t="20270" r="35850" b="3775"/>
                    <a:stretch>
                      <a:fillRect/>
                    </a:stretch>
                  </pic:blipFill>
                  <pic:spPr>
                    <a:xfrm>
                      <a:off x="0" y="0"/>
                      <a:ext cx="1781175" cy="2124710"/>
                    </a:xfrm>
                    <a:prstGeom prst="rect">
                      <a:avLst/>
                    </a:prstGeom>
                    <a:noFill/>
                    <a:ln>
                      <a:noFill/>
                    </a:ln>
                  </pic:spPr>
                </pic:pic>
              </a:graphicData>
            </a:graphic>
          </wp:anchor>
        </w:drawing>
      </w:r>
      <w:r>
        <w:rPr/>
        <w:br w:type="textWrapping" w:clear="all"/>
      </w:r>
    </w:p>
    <w:p>
      <w:pPr>
        <w:rPr>
          <w:rFonts w:hint="eastAsia"/>
        </w:rPr>
      </w:pPr>
      <w:r>
        <w:drawing>
          <wp:anchor distT="0" distB="0" distL="114300" distR="114300" simplePos="0" relativeHeight="251662336" behindDoc="0" locked="0" layoutInCell="1" allowOverlap="1">
            <wp:simplePos x="0" y="0"/>
            <wp:positionH relativeFrom="column">
              <wp:align>left</wp:align>
            </wp:positionH>
            <wp:positionV relativeFrom="paragraph">
              <wp:align>top</wp:align>
            </wp:positionV>
            <wp:extent cx="1684020" cy="2112010"/>
            <wp:effectExtent l="0" t="0" r="0" b="2540"/>
            <wp:wrapSquare wrapText="bothSides"/>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noChangeArrowheads="1"/>
                    </pic:cNvPicPr>
                  </pic:nvPicPr>
                  <pic:blipFill>
                    <a:blip r:embed="rId14" cstate="print">
                      <a:extLst>
                        <a:ext uri="{28A0092B-C50C-407E-A947-70E740481C1C}">
                          <a14:useLocalDpi xmlns:a14="http://schemas.microsoft.com/office/drawing/2010/main" val="0"/>
                        </a:ext>
                      </a:extLst>
                    </a:blip>
                    <a:srcRect l="30152" t="22994" r="37859" b="1505"/>
                    <a:stretch>
                      <a:fillRect/>
                    </a:stretch>
                  </pic:blipFill>
                  <pic:spPr>
                    <a:xfrm>
                      <a:off x="0" y="0"/>
                      <a:ext cx="1684020" cy="2112010"/>
                    </a:xfrm>
                    <a:prstGeom prst="rect">
                      <a:avLst/>
                    </a:prstGeom>
                    <a:noFill/>
                    <a:ln>
                      <a:noFill/>
                    </a:ln>
                  </pic:spPr>
                </pic:pic>
              </a:graphicData>
            </a:graphic>
          </wp:anchor>
        </w:drawing>
      </w:r>
      <w:r>
        <w:rPr/>
        <w:br w:type="textWrapping" w:clear="all"/>
      </w:r>
    </w:p>
    <w:p>
      <w:r>
        <w:t>5.</w:t>
      </w:r>
      <w:r>
        <w:tab/>
      </w:r>
      <w:r>
        <w:t>挑战问题及可能研究方向：</w:t>
      </w:r>
      <w:r>
        <w:rPr>
          <w:rFonts w:hint="eastAsia"/>
        </w:rPr>
        <w:t>满足实验室工作人员当前和未来的需求这需要各级利益相关者的集体努力，包括实验室雇主、实验室培训计划、卫生保健主管</w:t>
      </w:r>
      <w:r>
        <w:t>/医院管理人员和专业组织。现在是解决未来短缺的时候了</w:t>
      </w:r>
      <w:r>
        <w:rPr>
          <w:rFonts w:hint="eastAsia"/>
        </w:rPr>
        <w:t>实验室专业人才，打造一支富有弹性的临床实验室专业队伍。</w:t>
      </w:r>
      <w:r>
        <w:t xml:space="preserve"> </w:t>
      </w:r>
    </w:p>
    <w:p>
      <w:r>
        <w:t>6.</w:t>
      </w:r>
      <w:r>
        <w:tab/>
      </w:r>
      <w:r>
        <w:t>结论：2019年冠状病毒病(COVID-19)大流行打乱了该公司的人员配备</w:t>
      </w:r>
      <w:r>
        <w:rPr>
          <w:rFonts w:hint="eastAsia"/>
        </w:rPr>
        <w:t>临床实验室和即将进入劳动力市场的毕业生。结果显示在调查的所有部门中，大多数实验室职位的空缺率下降。总体预期退休率继续下降，这表明该领域已经失去了具有大量经验的人员。</w:t>
      </w:r>
    </w:p>
    <w:p>
      <w:r>
        <w:rPr>
          <w:rFonts w:hint="eastAsia"/>
        </w:rPr>
        <w:t>四：</w:t>
      </w:r>
      <w:r>
        <w:t xml:space="preserve">The Gallbladder and Vermiform </w:t>
      </w:r>
    </w:p>
    <w:p>
      <w:r>
        <w:t xml:space="preserve">Appendix as Quality Assurance </w:t>
      </w:r>
    </w:p>
    <w:p>
      <w:r>
        <w:t>Indicators in Autopsy Pathology</w:t>
      </w:r>
    </w:p>
    <w:p>
      <w:r>
        <w:t>1.</w:t>
      </w:r>
      <w:r>
        <w:tab/>
      </w:r>
      <w:r>
        <w:t>Abstract：</w:t>
      </w:r>
      <w:r>
        <w:rPr>
          <w:rFonts w:hint="eastAsia"/>
        </w:rPr>
        <w:t>我们调查了尸体解剖的数量。报告是否记录胆囊或阑尾的存在或不存在，或记录胆囊切除术或阑尾切除术后患者的腹部疤痕。我们也报告尸检时的胆囊和阑尾病理。</w:t>
      </w:r>
    </w:p>
    <w:p>
      <w:r>
        <w:t>2.</w:t>
      </w:r>
      <w:r>
        <w:tab/>
      </w:r>
      <w:r>
        <w:t xml:space="preserve">Introduction： </w:t>
      </w:r>
      <w:r>
        <w:rPr>
          <w:rFonts w:hint="eastAsia"/>
        </w:rPr>
        <w:t>我们调查了尸体解剖的数量。报告是否记录胆囊或阑尾的存在或不存在，或记录胆囊切除术或阑尾切除术后患者的腹部疤痕。我们也报告尸检时的胆囊和阑尾病理。</w:t>
      </w:r>
    </w:p>
    <w:p>
      <w:r>
        <w:t>3.</w:t>
      </w:r>
      <w:r>
        <w:tab/>
      </w:r>
      <w:r>
        <w:t xml:space="preserve">方法： </w:t>
      </w:r>
      <w:r>
        <w:rPr>
          <w:rFonts w:hint="eastAsia"/>
        </w:rPr>
        <w:t>回顾了</w:t>
      </w:r>
      <w:r>
        <w:t>2009年1月1日至2018年12月31日在社区教学医院尸检的18岁或以上患者的尸检报告。</w:t>
      </w:r>
      <w:r>
        <w:rPr>
          <w:rFonts w:hint="eastAsia"/>
        </w:rPr>
        <w:t>非腹部尸检除外。胆囊和阑尾的组织病理学检查仅在大体病理情况下进行。</w:t>
      </w:r>
    </w:p>
    <w:p>
      <w:r>
        <w:t>4.</w:t>
      </w:r>
      <w:r>
        <w:tab/>
      </w:r>
      <w:r>
        <w:t xml:space="preserve">数据及开源代码： </w:t>
      </w:r>
    </w:p>
    <w:p>
      <w:r>
        <w:drawing>
          <wp:anchor distT="0" distB="0" distL="114300" distR="114300" simplePos="0" relativeHeight="251664384" behindDoc="0" locked="0" layoutInCell="1" allowOverlap="1">
            <wp:simplePos x="0" y="0"/>
            <wp:positionH relativeFrom="column">
              <wp:align>left</wp:align>
            </wp:positionH>
            <wp:positionV relativeFrom="paragraph">
              <wp:align>top</wp:align>
            </wp:positionV>
            <wp:extent cx="3839210" cy="1231900"/>
            <wp:effectExtent l="0" t="0" r="8890" b="6350"/>
            <wp:wrapSquare wrapText="bothSides"/>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noChangeArrowheads="1"/>
                    </pic:cNvPicPr>
                  </pic:nvPicPr>
                  <pic:blipFill>
                    <a:blip r:embed="rId15" cstate="print">
                      <a:extLst>
                        <a:ext uri="{28A0092B-C50C-407E-A947-70E740481C1C}">
                          <a14:useLocalDpi xmlns:a14="http://schemas.microsoft.com/office/drawing/2010/main" val="0"/>
                        </a:ext>
                      </a:extLst>
                    </a:blip>
                    <a:srcRect l="3217" t="35852" r="23870" b="20124"/>
                    <a:stretch>
                      <a:fillRect/>
                    </a:stretch>
                  </pic:blipFill>
                  <pic:spPr>
                    <a:xfrm>
                      <a:off x="0" y="0"/>
                      <a:ext cx="3839210" cy="1231900"/>
                    </a:xfrm>
                    <a:prstGeom prst="rect">
                      <a:avLst/>
                    </a:prstGeom>
                    <a:noFill/>
                    <a:ln>
                      <a:noFill/>
                    </a:ln>
                  </pic:spPr>
                </pic:pic>
              </a:graphicData>
            </a:graphic>
          </wp:anchor>
        </w:drawing>
      </w:r>
      <w:r>
        <w:rPr/>
        <w:br w:type="textWrapping" w:clear="all"/>
      </w:r>
    </w:p>
    <w:p>
      <w:pPr>
        <w:rPr>
          <w:rFonts w:hint="eastAsia"/>
        </w:rPr>
      </w:pPr>
      <w:r>
        <w:drawing>
          <wp:anchor distT="0" distB="0" distL="114300" distR="114300" simplePos="0" relativeHeight="251663360" behindDoc="0" locked="0" layoutInCell="1" allowOverlap="1">
            <wp:simplePos x="0" y="0"/>
            <wp:positionH relativeFrom="column">
              <wp:align>left</wp:align>
            </wp:positionH>
            <wp:positionV relativeFrom="paragraph">
              <wp:align>top</wp:align>
            </wp:positionV>
            <wp:extent cx="1282065" cy="1786255"/>
            <wp:effectExtent l="0" t="0" r="0" b="4445"/>
            <wp:wrapSquare wrapText="bothSides"/>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noChangeArrowheads="1"/>
                    </pic:cNvPicPr>
                  </pic:nvPicPr>
                  <pic:blipFill>
                    <a:blip r:embed="rId16" cstate="print">
                      <a:extLst>
                        <a:ext uri="{28A0092B-C50C-407E-A947-70E740481C1C}">
                          <a14:useLocalDpi xmlns:a14="http://schemas.microsoft.com/office/drawing/2010/main" val="0"/>
                        </a:ext>
                      </a:extLst>
                    </a:blip>
                    <a:srcRect l="23154" t="23296" r="52490" b="12859"/>
                    <a:stretch>
                      <a:fillRect/>
                    </a:stretch>
                  </pic:blipFill>
                  <pic:spPr>
                    <a:xfrm>
                      <a:off x="0" y="0"/>
                      <a:ext cx="1282065" cy="1786255"/>
                    </a:xfrm>
                    <a:prstGeom prst="rect">
                      <a:avLst/>
                    </a:prstGeom>
                    <a:noFill/>
                    <a:ln>
                      <a:noFill/>
                    </a:ln>
                  </pic:spPr>
                </pic:pic>
              </a:graphicData>
            </a:graphic>
          </wp:anchor>
        </w:drawing>
      </w:r>
      <w:r>
        <w:rPr/>
        <w:br w:type="textWrapping" w:clear="all"/>
      </w:r>
    </w:p>
    <w:p>
      <w:r>
        <w:t>5.</w:t>
      </w:r>
      <w:r>
        <w:tab/>
      </w:r>
      <w:r>
        <w:t xml:space="preserve">挑战问题及可能研究方向： </w:t>
      </w:r>
    </w:p>
    <w:p>
      <w:r>
        <w:t>6.</w:t>
      </w:r>
      <w:r>
        <w:tab/>
      </w:r>
      <w:r>
        <w:t>结论：</w:t>
      </w:r>
      <w:r>
        <w:rPr>
          <w:rFonts w:hint="eastAsia"/>
        </w:rPr>
        <w:t>在所研究的</w:t>
      </w:r>
      <w:r>
        <w:t>385例尸体解剖中，48例(12.5%)行胆囊切除术，其中6例为胆囊切除术(12.5%)无腹部疤痕。阑尾切除术62例(16.1%)</w:t>
      </w:r>
      <w:r>
        <w:rPr>
          <w:rFonts w:hint="eastAsia"/>
        </w:rPr>
        <w:t>其中</w:t>
      </w:r>
      <w:r>
        <w:t>12例(19.4%)无腹部疤痕。在6份(1.6%)和16份(4.2%)的报告中分别没有记录胆囊和阑尾的存在或不存在。胆囊87例(25.8%)，阑尾4例(1.2%)</w:t>
      </w:r>
    </w:p>
    <w:p>
      <w:r>
        <w:rPr>
          <w:rFonts w:hint="eastAsia"/>
        </w:rPr>
        <w:t>五：</w:t>
      </w:r>
      <w:r>
        <w:t xml:space="preserve">Immunohistochemical Expression </w:t>
      </w:r>
    </w:p>
    <w:p>
      <w:r>
        <w:t xml:space="preserve">of Preferentially Expressed </w:t>
      </w:r>
    </w:p>
    <w:p>
      <w:r>
        <w:t xml:space="preserve">Antigen in Melanoma (PRAME) in </w:t>
      </w:r>
    </w:p>
    <w:p>
      <w:r>
        <w:t xml:space="preserve">the Uninvolved Background Testis, </w:t>
      </w:r>
    </w:p>
    <w:p>
      <w:r>
        <w:t xml:space="preserve">Germ Cell Neoplasia In Situ, and </w:t>
      </w:r>
    </w:p>
    <w:p>
      <w:r>
        <w:t>Germ Cell Tumors of the Testis</w:t>
      </w:r>
    </w:p>
    <w:p>
      <w:r>
        <w:t>1.</w:t>
      </w:r>
      <w:r>
        <w:tab/>
      </w:r>
      <w:r>
        <w:t>Abstract：</w:t>
      </w:r>
      <w:r>
        <w:rPr>
          <w:rFonts w:hint="eastAsia"/>
        </w:rPr>
        <w:t>优先表达抗原在黑色素瘤</w:t>
      </w:r>
      <w:r>
        <w:t>(PRAME)中起关键作用</w:t>
      </w:r>
      <w:r>
        <w:rPr>
          <w:rFonts w:hint="eastAsia"/>
        </w:rPr>
        <w:t>调节原始生殖细胞的多能性和生殖细胞的发育睾丸肿瘤</w:t>
      </w:r>
      <w:r>
        <w:t>(GCTT)但其免疫组化表达正常</w:t>
      </w:r>
      <w:r>
        <w:rPr>
          <w:rFonts w:hint="eastAsia"/>
        </w:rPr>
        <w:t>睾丸及其肿瘤对应物在很大程度上仍然未知。</w:t>
      </w:r>
    </w:p>
    <w:p>
      <w:r>
        <w:t>2.</w:t>
      </w:r>
      <w:r>
        <w:tab/>
      </w:r>
      <w:r>
        <w:t xml:space="preserve">Introduction： </w:t>
      </w:r>
      <w:r>
        <w:rPr>
          <w:rFonts w:hint="eastAsia"/>
        </w:rPr>
        <w:t>优先表达抗原在黑色素瘤</w:t>
      </w:r>
      <w:r>
        <w:t>(PRAME)中起关键作用调节原始生殖细胞的多能性和生殖细胞的发育睾丸肿瘤(GCTT)但其免疫组化表达正常睾丸及其肿瘤对应物在很大程度上仍然未知。</w:t>
      </w:r>
    </w:p>
    <w:p>
      <w:r>
        <w:t>3.</w:t>
      </w:r>
      <w:r>
        <w:tab/>
      </w:r>
      <w:r>
        <w:t xml:space="preserve">方法： </w:t>
      </w:r>
      <w:r>
        <w:rPr>
          <w:rFonts w:hint="eastAsia"/>
        </w:rPr>
        <w:t>我们回顾性研究了</w:t>
      </w:r>
      <w:r>
        <w:t>26例GCTT中PRAME的表达。21例原位生殖细胞瘤(GCNIS)， 17例未累及背景睾丸</w:t>
      </w:r>
    </w:p>
    <w:p>
      <w:r>
        <w:t>4.</w:t>
      </w:r>
      <w:r>
        <w:tab/>
      </w:r>
      <w:r>
        <w:t xml:space="preserve">数据及开源代码： </w:t>
      </w:r>
    </w:p>
    <w:p>
      <w:r>
        <w:drawing>
          <wp:inline distT="0" distB="0" distL="0" distR="0">
            <wp:extent cx="2467610" cy="2116455"/>
            <wp:effectExtent l="0" t="0" r="889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noChangeArrowheads="1"/>
                    </pic:cNvPicPr>
                  </pic:nvPicPr>
                  <pic:blipFill>
                    <a:blip r:embed="rId17" cstate="print">
                      <a:extLst>
                        <a:ext uri="{28A0092B-C50C-407E-A947-70E740481C1C}">
                          <a14:useLocalDpi xmlns:a14="http://schemas.microsoft.com/office/drawing/2010/main" val="0"/>
                        </a:ext>
                      </a:extLst>
                    </a:blip>
                    <a:srcRect l="23795" t="22237" r="29338" b="2125"/>
                    <a:stretch>
                      <a:fillRect/>
                    </a:stretch>
                  </pic:blipFill>
                  <pic:spPr>
                    <a:xfrm>
                      <a:off x="0" y="0"/>
                      <a:ext cx="2468033" cy="2116667"/>
                    </a:xfrm>
                    <a:prstGeom prst="rect">
                      <a:avLst/>
                    </a:prstGeom>
                    <a:noFill/>
                    <a:ln>
                      <a:noFill/>
                    </a:ln>
                  </pic:spPr>
                </pic:pic>
              </a:graphicData>
            </a:graphic>
          </wp:inline>
        </w:drawing>
      </w:r>
    </w:p>
    <w:p>
      <w:pPr>
        <w:rPr>
          <w:rFonts w:hint="eastAsia"/>
        </w:rPr>
      </w:pPr>
      <w:r>
        <w:drawing>
          <wp:inline distT="0" distB="0" distL="0" distR="0">
            <wp:extent cx="2395220" cy="2235200"/>
            <wp:effectExtent l="0" t="0" r="508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noChangeArrowheads="1"/>
                    </pic:cNvPicPr>
                  </pic:nvPicPr>
                  <pic:blipFill>
                    <a:blip r:embed="rId18" cstate="print">
                      <a:extLst>
                        <a:ext uri="{28A0092B-C50C-407E-A947-70E740481C1C}">
                          <a14:useLocalDpi xmlns:a14="http://schemas.microsoft.com/office/drawing/2010/main" val="0"/>
                        </a:ext>
                      </a:extLst>
                    </a:blip>
                    <a:srcRect l="24443" t="13917" r="30061" b="6196"/>
                    <a:stretch>
                      <a:fillRect/>
                    </a:stretch>
                  </pic:blipFill>
                  <pic:spPr>
                    <a:xfrm>
                      <a:off x="0" y="0"/>
                      <a:ext cx="2395841" cy="2235593"/>
                    </a:xfrm>
                    <a:prstGeom prst="rect">
                      <a:avLst/>
                    </a:prstGeom>
                    <a:noFill/>
                    <a:ln>
                      <a:noFill/>
                    </a:ln>
                  </pic:spPr>
                </pic:pic>
              </a:graphicData>
            </a:graphic>
          </wp:inline>
        </w:drawing>
      </w:r>
    </w:p>
    <w:p>
      <w:r>
        <w:t>5.</w:t>
      </w:r>
      <w:r>
        <w:tab/>
      </w:r>
      <w:r>
        <w:t>挑战问题及可能研究方向： PRAME是GCTT和GCTT鉴别诊断的附加标记物</w:t>
      </w:r>
      <w:r>
        <w:rPr>
          <w:rFonts w:hint="eastAsia"/>
        </w:rPr>
        <w:t>可能在半母细胞性</w:t>
      </w:r>
      <w:r>
        <w:t>GCTT向非半母细胞性GCTT的转变中发挥关键作用。</w:t>
      </w:r>
    </w:p>
    <w:p>
      <w:r>
        <w:t>6.</w:t>
      </w:r>
      <w:r>
        <w:tab/>
      </w:r>
      <w:r>
        <w:t>结论：</w:t>
      </w:r>
      <w:r>
        <w:rPr>
          <w:rFonts w:hint="eastAsia"/>
        </w:rPr>
        <w:t>我们发现</w:t>
      </w:r>
      <w:r>
        <w:t>PRAME在半母细胞中表达更强烈</w:t>
      </w:r>
      <w:r>
        <w:rPr>
          <w:rFonts w:hint="eastAsia"/>
        </w:rPr>
        <w:t>而非精原细胞瘤</w:t>
      </w:r>
      <w:r>
        <w:t>GCTT (P = .000)和纯精原细胞瘤而非精原细胞瘤</w:t>
      </w:r>
      <w:r>
        <w:rPr>
          <w:rFonts w:hint="eastAsia"/>
        </w:rPr>
        <w:t>半精细胞性</w:t>
      </w:r>
      <w:r>
        <w:t>/非半精细胞性GCTT组分(P = .025)。此外，GCNIS和</w:t>
      </w:r>
      <w:r>
        <w:rPr>
          <w:rFonts w:hint="eastAsia"/>
        </w:rPr>
        <w:t>未受影响的背景睾丸显示高水平的</w:t>
      </w:r>
      <w:r>
        <w:t>PRAME表达</w:t>
      </w:r>
    </w:p>
    <w:p>
      <w:r>
        <w:rPr>
          <w:rFonts w:hint="eastAsia"/>
        </w:rPr>
        <w:t>六：</w:t>
      </w:r>
      <w:r>
        <w:t xml:space="preserve">Orthognathic speech pathology: impacts of </w:t>
      </w:r>
    </w:p>
    <w:p>
      <w:r>
        <w:t>Class III malocclusion on speech</w:t>
      </w:r>
    </w:p>
    <w:p>
      <w:r>
        <w:t>1.</w:t>
      </w:r>
      <w:r>
        <w:tab/>
      </w:r>
      <w:r>
        <w:t>Abstract：</w:t>
      </w:r>
      <w:r>
        <w:rPr>
          <w:rFonts w:hint="eastAsia"/>
        </w:rPr>
        <w:t>齿面不协调</w:t>
      </w:r>
      <w:r>
        <w:t>(dfd)患者寻求正畸治疗和正颌</w:t>
      </w:r>
      <w:r>
        <w:rPr>
          <w:rFonts w:hint="eastAsia"/>
        </w:rPr>
        <w:t>手术解决咀嚼、美学和语言方面的问题。语音扭曲被看到</w:t>
      </w:r>
      <w:r>
        <w:t>18III类DFD患者的发病频率是一般人群的两倍，但因果关系尚不明确。</w:t>
      </w:r>
      <w:r>
        <w:rPr>
          <w:rFonts w:hint="eastAsia"/>
        </w:rPr>
        <w:t>我们假设停</w:t>
      </w:r>
      <w:r>
        <w:t>(/t/或/k/)、摩擦的光谱性质存在显著差异(/s/ or / /)和擦边(/t /)辅音，III类不和谐的严重程度与</w:t>
      </w:r>
      <w:r>
        <w:rPr>
          <w:rFonts w:hint="eastAsia"/>
        </w:rPr>
        <w:t>言语异常程度。</w:t>
      </w:r>
    </w:p>
    <w:p>
      <w:r>
        <w:t>2.</w:t>
      </w:r>
      <w:r>
        <w:tab/>
      </w:r>
      <w:r>
        <w:t xml:space="preserve">Introduction： </w:t>
      </w:r>
      <w:r>
        <w:rPr>
          <w:rFonts w:hint="eastAsia"/>
        </w:rPr>
        <w:t>齿面不协调</w:t>
      </w:r>
      <w:r>
        <w:t>(dfd)患者寻求正畸治疗和正颌手术解决咀嚼、美学和语言方面的问题。语音扭曲被看到18III类DFD患者的发病频率是一般人群的两倍，但因果关系尚不明确。我们假设停(/t/或/k/)、摩擦的光谱性质存在显著差异(/s/ or / /)和擦边(/t /)辅音，III类不和谐的严重程度与言语异常程度。</w:t>
      </w:r>
    </w:p>
    <w:p>
      <w:r>
        <w:t>3.</w:t>
      </w:r>
      <w:r>
        <w:tab/>
      </w:r>
      <w:r>
        <w:t xml:space="preserve">方法： </w:t>
      </w:r>
    </w:p>
    <w:p>
      <w:r>
        <w:t>4.</w:t>
      </w:r>
      <w:r>
        <w:tab/>
      </w:r>
      <w:r>
        <w:t>数据及开源代码：</w:t>
      </w:r>
    </w:p>
    <w:p>
      <w:r>
        <w:t xml:space="preserve"> </w:t>
      </w:r>
      <w:r>
        <w:drawing>
          <wp:inline distT="0" distB="0" distL="0" distR="0">
            <wp:extent cx="2192020" cy="2281555"/>
            <wp:effectExtent l="0" t="0" r="0" b="444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noChangeArrowheads="1"/>
                    </pic:cNvPicPr>
                  </pic:nvPicPr>
                  <pic:blipFill>
                    <a:blip r:embed="rId19" cstate="print">
                      <a:extLst>
                        <a:ext uri="{28A0092B-C50C-407E-A947-70E740481C1C}">
                          <a14:useLocalDpi xmlns:a14="http://schemas.microsoft.com/office/drawing/2010/main" val="0"/>
                        </a:ext>
                      </a:extLst>
                    </a:blip>
                    <a:srcRect l="27416" t="16489" r="30946" b="1965"/>
                    <a:stretch>
                      <a:fillRect/>
                    </a:stretch>
                  </pic:blipFill>
                  <pic:spPr>
                    <a:xfrm>
                      <a:off x="0" y="0"/>
                      <a:ext cx="2192698" cy="2282031"/>
                    </a:xfrm>
                    <a:prstGeom prst="rect">
                      <a:avLst/>
                    </a:prstGeom>
                    <a:noFill/>
                    <a:ln>
                      <a:noFill/>
                    </a:ln>
                  </pic:spPr>
                </pic:pic>
              </a:graphicData>
            </a:graphic>
          </wp:inline>
        </w:drawing>
      </w:r>
    </w:p>
    <w:p>
      <w:r>
        <w:drawing>
          <wp:inline distT="0" distB="0" distL="0" distR="0">
            <wp:extent cx="3597275" cy="1688465"/>
            <wp:effectExtent l="0" t="0" r="3175" b="698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noChangeArrowheads="1"/>
                    </pic:cNvPicPr>
                  </pic:nvPicPr>
                  <pic:blipFill>
                    <a:blip r:embed="rId20" cstate="print">
                      <a:extLst>
                        <a:ext uri="{28A0092B-C50C-407E-A947-70E740481C1C}">
                          <a14:useLocalDpi xmlns:a14="http://schemas.microsoft.com/office/drawing/2010/main" val="0"/>
                        </a:ext>
                      </a:extLst>
                    </a:blip>
                    <a:srcRect l="12222" t="39635" r="19450"/>
                    <a:stretch>
                      <a:fillRect/>
                    </a:stretch>
                  </pic:blipFill>
                  <pic:spPr>
                    <a:xfrm>
                      <a:off x="0" y="0"/>
                      <a:ext cx="3598178" cy="1689294"/>
                    </a:xfrm>
                    <a:prstGeom prst="rect">
                      <a:avLst/>
                    </a:prstGeom>
                    <a:noFill/>
                    <a:ln>
                      <a:noFill/>
                    </a:ln>
                  </pic:spPr>
                </pic:pic>
              </a:graphicData>
            </a:graphic>
          </wp:inline>
        </w:drawing>
      </w:r>
    </w:p>
    <w:p>
      <w:r>
        <w:t>5.</w:t>
      </w:r>
      <w:r>
        <w:tab/>
      </w:r>
      <w:r>
        <w:t>挑战问题及可能研究方向： III类DFD患者有较高的患病率的发音错误和显著</w:t>
      </w:r>
      <w:r>
        <w:rPr>
          <w:rFonts w:hint="eastAsia"/>
        </w:rPr>
        <w:t>辅音相对于对照的光谱失真。这是第一次证明错咬合的严重程度与辅音的语音扭曲程度在数量上相关，表示因果关系。这些发现提供了对两者之间复杂关系的深入了解颅面结构和言语扭曲。</w:t>
      </w:r>
    </w:p>
    <w:p>
      <w:r>
        <w:t>6.</w:t>
      </w:r>
      <w:r>
        <w:tab/>
      </w:r>
      <w:r>
        <w:t>结论：</w:t>
      </w:r>
      <w:r>
        <w:rPr>
          <w:rFonts w:hint="eastAsia"/>
        </w:rPr>
        <w:t>大多数</w:t>
      </w:r>
      <w:r>
        <w:t>III类受试者表现出言语扭曲。的显著增加</w:t>
      </w:r>
      <w:r>
        <w:rPr>
          <w:rFonts w:hint="eastAsia"/>
        </w:rPr>
        <w:t>部分</w:t>
      </w:r>
      <w:r>
        <w:t>III类辅音的形心频率(M1)和谱展度(M2)均存在</w:t>
      </w:r>
      <w:r>
        <w:rPr>
          <w:rFonts w:hint="eastAsia"/>
        </w:rPr>
        <w:t>受试者与对照组的比较。采用回归分析，</w:t>
      </w:r>
      <w:r>
        <w:t>III类骨骼之间的相关性</w:t>
      </w:r>
      <w:r>
        <w:rPr>
          <w:rFonts w:hint="eastAsia"/>
        </w:rPr>
        <w:t>发现</w:t>
      </w:r>
      <w:r>
        <w:t>/t/和/k/的严重程度(通过头影测量评估)和光谱失真</w:t>
      </w:r>
      <w:r>
        <w:rPr>
          <w:rFonts w:hint="eastAsia"/>
        </w:rPr>
        <w:t>。</w:t>
      </w:r>
    </w:p>
    <w:p>
      <w:r>
        <w:rPr>
          <w:rFonts w:hint="eastAsia"/>
        </w:rPr>
        <w:t>七：</w:t>
      </w:r>
      <w:r>
        <w:t>Pathology of asthma</w:t>
      </w:r>
    </w:p>
    <w:p>
      <w:r>
        <w:t>1.</w:t>
      </w:r>
      <w:r>
        <w:tab/>
      </w:r>
      <w:r>
        <w:t>Abstract：</w:t>
      </w:r>
    </w:p>
    <w:p>
      <w:r>
        <w:t>2.</w:t>
      </w:r>
      <w:r>
        <w:tab/>
      </w:r>
      <w:r>
        <w:t xml:space="preserve">Introduction： </w:t>
      </w:r>
    </w:p>
    <w:p>
      <w:r>
        <w:t>3.</w:t>
      </w:r>
      <w:r>
        <w:tab/>
      </w:r>
      <w:r>
        <w:t xml:space="preserve">方法： </w:t>
      </w:r>
    </w:p>
    <w:p>
      <w:r>
        <w:t>4.</w:t>
      </w:r>
      <w:r>
        <w:tab/>
      </w:r>
      <w:r>
        <w:t xml:space="preserve">数据及开源代码： </w:t>
      </w:r>
    </w:p>
    <w:p>
      <w:r>
        <w:t>5.</w:t>
      </w:r>
      <w:r>
        <w:tab/>
      </w:r>
      <w:r>
        <w:t xml:space="preserve">挑战问题及可能研究方向： </w:t>
      </w:r>
    </w:p>
    <w:p>
      <w:r>
        <w:t>6.</w:t>
      </w:r>
      <w:r>
        <w:tab/>
      </w:r>
      <w:r>
        <w:t>结论：</w:t>
      </w:r>
    </w:p>
    <w:p>
      <w:r>
        <w:rPr>
          <w:rFonts w:hint="eastAsia"/>
        </w:rPr>
        <w:t>八：</w:t>
      </w:r>
    </w:p>
    <w:p>
      <w:r>
        <w:t>1.</w:t>
      </w:r>
      <w:r>
        <w:tab/>
      </w:r>
      <w:r>
        <w:t>Abstract：</w:t>
      </w:r>
      <w:r>
        <w:rPr>
          <w:rFonts w:hint="eastAsia"/>
        </w:rPr>
        <w:t>哮喘的致病因子及其效果</w:t>
      </w:r>
    </w:p>
    <w:p>
      <w:r>
        <w:t>2.</w:t>
      </w:r>
      <w:r>
        <w:tab/>
      </w:r>
      <w:r>
        <w:t xml:space="preserve">Introduction： </w:t>
      </w:r>
      <w:r>
        <w:rPr>
          <w:rFonts w:hint="eastAsia"/>
        </w:rPr>
        <w:t>哮喘的特点是气道的作用导致可逆性气流阻塞与气道高应答性</w:t>
      </w:r>
      <w:r>
        <w:t>(AHR)和气道炎症相关(Holgate, 2012)。</w:t>
      </w:r>
      <w:r>
        <w:rPr>
          <w:rFonts w:hint="eastAsia"/>
        </w:rPr>
        <w:t>这种疾病影响着全球</w:t>
      </w:r>
      <w:r>
        <w:t>3亿多人</w:t>
      </w:r>
      <w:r>
        <w:rPr>
          <w:rFonts w:hint="eastAsia"/>
        </w:rPr>
        <w:t>每年约有</w:t>
      </w:r>
      <w:r>
        <w:t>25万人死亡(Bousquet et al.，2007)。在过去的几十年里，吸入皮质类固醇</w:t>
      </w:r>
      <w:r>
        <w:rPr>
          <w:rFonts w:hint="eastAsia"/>
        </w:rPr>
        <w:t>已成为治疗哮喘的主要药物，死亡率为哮喘减少</w:t>
      </w:r>
      <w:r>
        <w:t>(Wijesinghe et al.， 2009)。与此同时,过敏</w:t>
      </w:r>
      <w:r>
        <w:rPr>
          <w:rFonts w:hint="eastAsia"/>
        </w:rPr>
        <w:t>哮喘等疾病在过去的一半时间里显著增加与城市化相关的几个世纪</w:t>
      </w:r>
      <w:r>
        <w:t>(Alfvén等人，2006)。儿童患哮喘的比例与其他儿童相比最高</w:t>
      </w:r>
      <w:r>
        <w:rPr>
          <w:rFonts w:hint="eastAsia"/>
        </w:rPr>
        <w:t>美国疾病控制和预防中心</w:t>
      </w:r>
      <w:r>
        <w:t>2011)。然后，预计患者的数量将会增加</w:t>
      </w:r>
      <w:r>
        <w:rPr>
          <w:rFonts w:hint="eastAsia"/>
        </w:rPr>
        <w:t>到</w:t>
      </w:r>
      <w:r>
        <w:t>2025年增加1亿以上(Masoli等人，2004年)。</w:t>
      </w:r>
      <w:r>
        <w:rPr>
          <w:rFonts w:hint="eastAsia"/>
        </w:rPr>
        <w:t>一般来说，哮喘大多始于儿童时期对常见吸入变应原敏感，如室内灰尘螨虫、蟑螂、动物皮屑、真菌和花粉。这些吸入过敏原刺激</w:t>
      </w:r>
      <w:r>
        <w:t>T辅助性2型(Th2)细胞增殖，随后是Th2细胞因子，白细胞介素(IL)-4, IL-5和IL-13的生产和释放。许多基础和临床研究表明，气道炎症是导致死亡的关键因素</w:t>
      </w:r>
      <w:r>
        <w:rPr>
          <w:rFonts w:hint="eastAsia"/>
        </w:rPr>
        <w:t>疾病的病理生理学。慢性气道炎症在哮喘中的存在已经被认识了一个多世纪。炎症是由一种强效化学物质的释放引起的来自炎症细胞的介质。慢性气道炎症，气道重塑，特征为增厚所有腔室的气道壁，都是发生和可能发生的对气道狭窄机制的深刻影响哮喘和哮喘的慢性和进展疾病。作为过敏性致敏，过敏原可被树突吸收细胞</w:t>
      </w:r>
      <w:r>
        <w:t>(DCs)处理抗原分子并将其呈现naïve辅助T细胞。因此，发生了过敏原特异性Th2细胞的激活，该细胞在其中发挥重要作用</w:t>
      </w:r>
      <w:r>
        <w:rPr>
          <w:rFonts w:hint="eastAsia"/>
        </w:rPr>
        <w:t>得了哮喘。如今，人们知道</w:t>
      </w:r>
      <w:r>
        <w:t>Th17细胞和Th9细胞也能调节疾病。Th17细胞产生IL-17A，</w:t>
      </w:r>
      <w:r>
        <w:rPr>
          <w:rFonts w:hint="eastAsia"/>
        </w:rPr>
        <w:t>伊尔</w:t>
      </w:r>
      <w:r>
        <w:t>- 17f和伊尔-22。这些细胞因子诱导气道炎症</w:t>
      </w:r>
      <w:r>
        <w:rPr>
          <w:rFonts w:hint="eastAsia"/>
        </w:rPr>
        <w:t>和</w:t>
      </w:r>
      <w:r>
        <w:t>IL-17A增强平滑肌收缩力。</w:t>
      </w:r>
      <w:r>
        <w:rPr>
          <w:rFonts w:hint="eastAsia"/>
        </w:rPr>
        <w:t>过敏性疾病是由不适当的免疫引起的对过敏原的反应，而不是由</w:t>
      </w:r>
      <w:r>
        <w:t>Th2-驱动的发病机制</w:t>
      </w:r>
      <w:r>
        <w:rPr>
          <w:rFonts w:hint="eastAsia"/>
        </w:rPr>
        <w:t>介导免疫反应。卫生假说已经被证实用于解释工业化和城市化以来变应性疾病的增加和过敏性疾病的高发病率更发达国家的疾病。假设现在扩展到包括暴露于共生细菌和寄生虫作为免疫系统发育的重要调节剂，沿着感染因子</w:t>
      </w:r>
      <w:r>
        <w:t>(Grammatikos, 2008)。最近，哮喘</w:t>
      </w:r>
      <w:r>
        <w:rPr>
          <w:rFonts w:hint="eastAsia"/>
        </w:rPr>
        <w:t>不被认为是单纯的</w:t>
      </w:r>
      <w:r>
        <w:t>Th2疾病，其特征是IgE升高和相对的嗜酸性粒细胞增多。Th17和</w:t>
      </w:r>
      <w:r>
        <w:rPr>
          <w:rFonts w:hint="eastAsia"/>
        </w:rPr>
        <w:t>已知</w:t>
      </w:r>
      <w:r>
        <w:t>Th9细胞亚型与炎症有关</w:t>
      </w:r>
      <w:r>
        <w:rPr>
          <w:rFonts w:hint="eastAsia"/>
        </w:rPr>
        <w:t>或增强平滑肌收缩或刺激肥大细胞。</w:t>
      </w:r>
    </w:p>
    <w:p>
      <w:r>
        <w:t>3.</w:t>
      </w:r>
      <w:r>
        <w:tab/>
      </w:r>
      <w:r>
        <w:t xml:space="preserve">方法： </w:t>
      </w:r>
      <w:r>
        <w:rPr>
          <w:rFonts w:hint="eastAsia"/>
        </w:rPr>
        <w:t>文献归纳总结</w:t>
      </w:r>
    </w:p>
    <w:p>
      <w:r>
        <w:t>4.</w:t>
      </w:r>
      <w:r>
        <w:tab/>
      </w:r>
      <w:r>
        <w:t xml:space="preserve">数据及开源代码： </w:t>
      </w:r>
    </w:p>
    <w:p>
      <w:r>
        <w:drawing>
          <wp:inline distT="0" distB="0" distL="0" distR="0">
            <wp:extent cx="2476500" cy="135890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noChangeArrowheads="1"/>
                    </pic:cNvPicPr>
                  </pic:nvPicPr>
                  <pic:blipFill>
                    <a:blip r:embed="rId21" cstate="print">
                      <a:extLst>
                        <a:ext uri="{28A0092B-C50C-407E-A947-70E740481C1C}">
                          <a14:useLocalDpi xmlns:a14="http://schemas.microsoft.com/office/drawing/2010/main" val="0"/>
                        </a:ext>
                      </a:extLst>
                    </a:blip>
                    <a:srcRect l="25002" t="42357" r="27965" b="9078"/>
                    <a:stretch>
                      <a:fillRect/>
                    </a:stretch>
                  </pic:blipFill>
                  <pic:spPr>
                    <a:xfrm>
                      <a:off x="0" y="0"/>
                      <a:ext cx="2476826" cy="1359079"/>
                    </a:xfrm>
                    <a:prstGeom prst="rect">
                      <a:avLst/>
                    </a:prstGeom>
                    <a:noFill/>
                    <a:ln>
                      <a:noFill/>
                    </a:ln>
                  </pic:spPr>
                </pic:pic>
              </a:graphicData>
            </a:graphic>
          </wp:inline>
        </w:drawing>
      </w:r>
    </w:p>
    <w:p>
      <w:r>
        <w:t>5.</w:t>
      </w:r>
      <w:r>
        <w:tab/>
      </w:r>
      <w:r>
        <w:t>挑战问题及可能研究方向：</w:t>
      </w:r>
      <w:r>
        <w:rPr>
          <w:rFonts w:hint="eastAsia"/>
        </w:rPr>
        <w:t>哮喘的病因具体细节</w:t>
      </w:r>
      <w:r>
        <w:t xml:space="preserve"> </w:t>
      </w:r>
    </w:p>
    <w:p>
      <w:r>
        <w:t>6.</w:t>
      </w:r>
      <w:r>
        <w:tab/>
      </w:r>
      <w:r>
        <w:t>结论：</w:t>
      </w:r>
      <w:r>
        <w:rPr>
          <w:rFonts w:hint="eastAsia"/>
        </w:rPr>
        <w:t>哮喘的病因</w:t>
      </w:r>
    </w:p>
    <w:p>
      <w:r>
        <w:rPr>
          <w:rFonts w:hint="eastAsia"/>
        </w:rPr>
        <w:t>九：</w:t>
      </w:r>
      <w:r>
        <w:t xml:space="preserve">Meta-Analysis of IBD Gut Samples Gene Expression </w:t>
      </w:r>
    </w:p>
    <w:p>
      <w:r>
        <w:t>Identifies Specific Markers of Ileal and Colonic Diseases</w:t>
      </w:r>
    </w:p>
    <w:p>
      <w:r>
        <w:t>1.</w:t>
      </w:r>
      <w:r>
        <w:tab/>
      </w:r>
      <w:r>
        <w:t>Abstract：</w:t>
      </w:r>
      <w:r>
        <w:rPr>
          <w:rFonts w:hint="eastAsia"/>
        </w:rPr>
        <w:t>炎性肠病</w:t>
      </w:r>
      <w:r>
        <w:t>(IBDs)的特征是慢性炎症和下消化道有限部分的组织损伤。组织和黏膜炎症的发病机制可能因疾病部位而异。我们的目的是进一步分析IBD不同部位的转录组谱，区分溃疡性结肠炎(UC)、结肠克罗恩病(CD)、回肠CD和囊炎，</w:t>
      </w:r>
      <w:r>
        <w:rPr>
          <w:rFonts w:hint="eastAsia"/>
        </w:rPr>
        <w:t>相对于正常的结肠和回肠粘膜。因此，我们对回肠和回肠的特定转录组特征进行了荟萃分析结肠疾病。</w:t>
      </w:r>
    </w:p>
    <w:p>
      <w:r>
        <w:t>2.</w:t>
      </w:r>
      <w:r>
        <w:tab/>
      </w:r>
      <w:r>
        <w:t xml:space="preserve">Introduction： </w:t>
      </w:r>
      <w:r>
        <w:rPr>
          <w:rFonts w:hint="eastAsia"/>
        </w:rPr>
        <w:t>对</w:t>
      </w:r>
      <w:r>
        <w:t>IBD肠道样本基因表达的meta分析</w:t>
      </w:r>
      <w:r>
        <w:rPr>
          <w:rFonts w:hint="eastAsia"/>
        </w:rPr>
        <w:t>识别回肠和结肠疾病的特定标记物的研究</w:t>
      </w:r>
    </w:p>
    <w:p>
      <w:r>
        <w:t>3.</w:t>
      </w:r>
      <w:r>
        <w:tab/>
      </w:r>
      <w:r>
        <w:t xml:space="preserve">方法： </w:t>
      </w:r>
      <w:r>
        <w:rPr>
          <w:rFonts w:hint="eastAsia"/>
        </w:rPr>
        <w:t>我们从活动性</w:t>
      </w:r>
      <w:r>
        <w:t>IBD和非IBD对照样本的回肠或结肠样本中鉴定了5组具有转录组数据的队列。</w:t>
      </w:r>
      <w:r>
        <w:rPr>
          <w:rFonts w:hint="eastAsia"/>
        </w:rPr>
        <w:t>对</w:t>
      </w:r>
      <w:r>
        <w:t>1047份样本进行meta分析。在每个队列中，我们分别比较了CD回肠炎和正常回肠的基因表达;在CD结肠炎、UC和正常结肠;最后是囊炎和正常回肠。</w:t>
      </w:r>
    </w:p>
    <w:p>
      <w:r>
        <w:t>4.</w:t>
      </w:r>
      <w:r>
        <w:tab/>
      </w:r>
      <w:r>
        <w:t>数据及开源代码：</w:t>
      </w:r>
    </w:p>
    <w:p>
      <w:r>
        <w:t xml:space="preserve"> </w:t>
      </w:r>
      <w:r>
        <w:drawing>
          <wp:inline distT="0" distB="0" distL="0" distR="0">
            <wp:extent cx="2370455" cy="1710055"/>
            <wp:effectExtent l="0" t="0" r="0" b="444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noChangeArrowheads="1"/>
                    </pic:cNvPicPr>
                  </pic:nvPicPr>
                  <pic:blipFill>
                    <a:blip r:embed="rId22" cstate="print">
                      <a:extLst>
                        <a:ext uri="{28A0092B-C50C-407E-A947-70E740481C1C}">
                          <a14:useLocalDpi xmlns:a14="http://schemas.microsoft.com/office/drawing/2010/main" val="0"/>
                        </a:ext>
                      </a:extLst>
                    </a:blip>
                    <a:srcRect l="24680" t="25717" r="30293" b="13156"/>
                    <a:stretch>
                      <a:fillRect/>
                    </a:stretch>
                  </pic:blipFill>
                  <pic:spPr>
                    <a:xfrm>
                      <a:off x="0" y="0"/>
                      <a:ext cx="2371149" cy="1710614"/>
                    </a:xfrm>
                    <a:prstGeom prst="rect">
                      <a:avLst/>
                    </a:prstGeom>
                    <a:noFill/>
                    <a:ln>
                      <a:noFill/>
                    </a:ln>
                  </pic:spPr>
                </pic:pic>
              </a:graphicData>
            </a:graphic>
          </wp:inline>
        </w:drawing>
      </w:r>
    </w:p>
    <w:p>
      <w:r>
        <w:t>5.</w:t>
      </w:r>
      <w:r>
        <w:tab/>
      </w:r>
      <w:r>
        <w:t xml:space="preserve">挑战问题及可能研究方向： </w:t>
      </w:r>
      <w:r>
        <w:rPr>
          <w:rFonts w:hint="eastAsia"/>
        </w:rPr>
        <w:t>我们证明，回肠和结肠疾病表现出特定的特征，独立于他们最初的临床分类。这支持分子，而不是临床，疾病分层，并可用于设计药物专门针对回肠或结肠疾病。</w:t>
      </w:r>
    </w:p>
    <w:p>
      <w:r>
        <w:t>6.</w:t>
      </w:r>
      <w:r>
        <w:tab/>
      </w:r>
      <w:r>
        <w:t>结论：</w:t>
      </w:r>
      <w:r>
        <w:rPr>
          <w:rFonts w:hint="eastAsia"/>
        </w:rPr>
        <w:t>我们鉴定了回肠</w:t>
      </w:r>
      <w:r>
        <w:t>(FOLH1, CA2)和结肠(REG3A)炎症的特定标记物，并表明，随着疾病的发生，一些细胞</w:t>
      </w:r>
      <w:r>
        <w:rPr>
          <w:rFonts w:hint="eastAsia"/>
        </w:rPr>
        <w:t>从回肠开始表达结肠标记物。我们通过免疫组化证实这些标记物特异性地存在于回肠或者是结肠疾病。我们强调，总的来说，结肠乳糜泻类似于结肠炎，与回肠乳糜泻不同，后者更接近于袋炎。</w:t>
      </w:r>
    </w:p>
    <w:p>
      <w:r>
        <w:rPr>
          <w:rFonts w:hint="eastAsia"/>
        </w:rPr>
        <w:t>十：</w:t>
      </w:r>
      <w:r>
        <w:t>Brainstem Biomarkers of Clinical Variant and Pathology</w:t>
      </w:r>
    </w:p>
    <w:p>
      <w:r>
        <w:t>in Progressive Supranuclear Palsy</w:t>
      </w:r>
    </w:p>
    <w:p>
      <w:r>
        <w:rPr>
          <w:rFonts w:hint="eastAsia"/>
        </w:rPr>
        <w:t>2</w:t>
      </w:r>
      <w:r>
        <w:t>023</w:t>
      </w:r>
      <w:r>
        <w:rPr>
          <w:rFonts w:hint="eastAsia"/>
        </w:rPr>
        <w:t>：</w:t>
      </w:r>
    </w:p>
    <w:p>
      <w:r>
        <w:rPr>
          <w:rFonts w:hint="eastAsia"/>
        </w:rPr>
        <w:t>一：</w:t>
      </w:r>
      <w:r>
        <w:t>Long-standing multiple system atrophy-Parkinsonism with</w:t>
      </w:r>
    </w:p>
    <w:p>
      <w:r>
        <w:t>limbic and FTLD-type α-synuclein pathology</w:t>
      </w:r>
    </w:p>
    <w:p>
      <w:r>
        <w:rPr>
          <w:rFonts w:hint="eastAsia"/>
        </w:rPr>
        <w:t>二：</w:t>
      </w:r>
      <w:r>
        <w:t>Phenotype transition of fibroblasts incorporated into patientderived oral carcinoma organoid</w:t>
      </w:r>
    </w:p>
    <w:p>
      <w:r>
        <w:rPr>
          <w:rFonts w:hint="eastAsia"/>
        </w:rPr>
        <w:t>三：</w:t>
      </w:r>
      <w:r>
        <w:t xml:space="preserve">Magnetic resonance cholangiopancreatography: pitfalls </w:t>
      </w:r>
    </w:p>
    <w:p>
      <w:r>
        <w:t>in interpretation</w:t>
      </w:r>
    </w:p>
    <w:p>
      <w:pPr>
        <w:numPr>
          <w:ilvl w:val="0"/>
          <w:numId w:val="0"/>
        </w:numPr>
        <w:rPr>
          <w:rFonts w:hint="eastAsia"/>
          <w:lang w:val="en-US" w:eastAsia="zh-CN"/>
        </w:rPr>
      </w:pPr>
      <w:r>
        <w:rPr>
          <w:rFonts w:hint="eastAsia"/>
          <w:lang w:val="en-US" w:eastAsia="zh-CN"/>
        </w:rPr>
        <w:t>十一、A Bifocal Classification and Fusion Network for Multimodal Image Analysis in Histopathology</w:t>
      </w:r>
    </w:p>
    <w:p>
      <w:pPr>
        <w:numPr>
          <w:ilvl w:val="0"/>
          <w:numId w:val="0"/>
        </w:numPr>
        <w:rPr>
          <w:rFonts w:hint="eastAsia"/>
          <w:lang w:val="en-US" w:eastAsia="zh-CN"/>
        </w:rPr>
      </w:pPr>
      <w:r>
        <w:rPr>
          <w:rFonts w:hint="eastAsia"/>
          <w:lang w:val="en-US" w:eastAsia="zh-CN"/>
        </w:rPr>
        <w:t>Abstract</w:t>
      </w:r>
      <w:r>
        <w:rPr>
          <w:rFonts w:hint="eastAsia"/>
          <w:lang w:val="en-US" w:eastAsia="zh-CN"/>
        </w:rPr>
        <w:br w:type="textWrapping"/>
      </w:r>
      <w:r>
        <w:rPr>
          <w:rFonts w:hint="eastAsia"/>
          <w:lang w:val="en-US" w:eastAsia="zh-CN"/>
        </w:rPr>
        <w:t>识别组织学切片中的关键形态学特征对于病理诊断和监测治疗进展至关重要。然而，典型的常规显微工作流程是手工进行的，这非常耗时，并且像所有人类工作一样具有不可避免的观察者内部和观察者之间的可变性。因此，我们提出了一种双焦点分类和融合网络，用于全玻片多模态图像（WSI）中诊断特征的自动识别和跨模态分析。</w:t>
      </w:r>
    </w:p>
    <w:p>
      <w:pPr>
        <w:numPr>
          <w:ilvl w:val="0"/>
          <w:numId w:val="0"/>
        </w:numPr>
        <w:rPr>
          <w:rFonts w:hint="eastAsia"/>
          <w:lang w:val="en-US" w:eastAsia="zh-CN"/>
        </w:rPr>
      </w:pPr>
      <w:r>
        <w:rPr>
          <w:rFonts w:hint="eastAsia"/>
          <w:lang w:val="en-US" w:eastAsia="zh-CN"/>
        </w:rPr>
        <w:t>Introduction</w:t>
      </w:r>
    </w:p>
    <w:p>
      <w:pPr>
        <w:numPr>
          <w:ilvl w:val="0"/>
          <w:numId w:val="0"/>
        </w:numPr>
        <w:ind w:firstLine="210" w:firstLineChars="100"/>
        <w:rPr>
          <w:rFonts w:hint="eastAsia"/>
          <w:lang w:val="en-US" w:eastAsia="zh-CN"/>
        </w:rPr>
      </w:pPr>
      <w:r>
        <w:rPr>
          <w:rFonts w:hint="eastAsia"/>
          <w:lang w:val="en-US" w:eastAsia="zh-CN"/>
        </w:rPr>
        <w:t>从数字化组织切片中裁剪的成对图像图块被馈送到改进的双路径CNN中，该CNN接受不对称输入进行分类，然后将推理结果转换为特征分布热图，这允许对整个组织学切片进行定性和定量形态学分析，甚至与染色不同的相邻切片结合使用。使用图像配准对齐多模态热图，并融合以进行跨模态分析。</w:t>
      </w:r>
    </w:p>
    <w:p>
      <w:pPr>
        <w:numPr>
          <w:ilvl w:val="0"/>
          <w:numId w:val="0"/>
        </w:numPr>
        <w:rPr>
          <w:rFonts w:hint="eastAsia"/>
          <w:lang w:val="en-US" w:eastAsia="zh-CN"/>
        </w:rPr>
      </w:pPr>
      <w:r>
        <w:rPr>
          <w:rFonts w:hint="eastAsia"/>
          <w:lang w:val="en-US" w:eastAsia="zh-CN"/>
        </w:rPr>
        <w:t>方法</w:t>
      </w:r>
    </w:p>
    <w:p>
      <w:pPr>
        <w:numPr>
          <w:ilvl w:val="0"/>
          <w:numId w:val="0"/>
        </w:numPr>
        <w:rPr>
          <w:rFonts w:hint="default"/>
          <w:lang w:val="en-US" w:eastAsia="zh-CN"/>
        </w:rPr>
      </w:pPr>
      <w:r>
        <w:rPr>
          <w:rFonts w:hint="eastAsia"/>
          <w:lang w:val="en-US" w:eastAsia="zh-CN"/>
        </w:rPr>
        <w:t>实验检测</w:t>
      </w:r>
    </w:p>
    <w:p>
      <w:pPr>
        <w:numPr>
          <w:ilvl w:val="0"/>
          <w:numId w:val="0"/>
        </w:numPr>
        <w:rPr>
          <w:rFonts w:hint="eastAsia"/>
          <w:lang w:val="en-US" w:eastAsia="zh-CN"/>
        </w:rPr>
      </w:pPr>
      <w:r>
        <w:rPr>
          <w:rFonts w:hint="eastAsia"/>
          <w:lang w:val="en-US" w:eastAsia="zh-CN"/>
        </w:rPr>
        <w:t>挑战问题及可能的研究方向</w:t>
      </w:r>
    </w:p>
    <w:p>
      <w:pPr>
        <w:numPr>
          <w:ilvl w:val="0"/>
          <w:numId w:val="0"/>
        </w:numPr>
        <w:ind w:firstLine="210" w:firstLineChars="100"/>
        <w:rPr>
          <w:rFonts w:hint="eastAsia"/>
          <w:lang w:val="en-US" w:eastAsia="zh-CN"/>
        </w:rPr>
      </w:pPr>
      <w:r>
        <w:rPr>
          <w:rFonts w:hint="default"/>
          <w:lang w:val="en-US" w:eastAsia="zh-CN"/>
        </w:rPr>
        <w:t>自动化与控制系统机器人</w:t>
      </w:r>
      <w:r>
        <w:rPr>
          <w:rFonts w:hint="eastAsia"/>
          <w:lang w:val="en-US" w:eastAsia="zh-CN"/>
        </w:rPr>
        <w:t>，数字病理学</w:t>
      </w:r>
    </w:p>
    <w:p>
      <w:pPr>
        <w:numPr>
          <w:ilvl w:val="0"/>
          <w:numId w:val="0"/>
        </w:numPr>
        <w:rPr>
          <w:rFonts w:hint="eastAsia"/>
          <w:lang w:val="en-US" w:eastAsia="zh-CN"/>
        </w:rPr>
      </w:pPr>
      <w:r>
        <w:rPr>
          <w:rFonts w:hint="eastAsia"/>
          <w:lang w:val="en-US" w:eastAsia="zh-CN"/>
        </w:rPr>
        <w:t>结论</w:t>
      </w:r>
    </w:p>
    <w:p>
      <w:pPr>
        <w:numPr>
          <w:ilvl w:val="0"/>
          <w:numId w:val="0"/>
        </w:numPr>
        <w:ind w:firstLine="210" w:firstLineChars="100"/>
        <w:rPr>
          <w:rFonts w:hint="default"/>
          <w:lang w:val="en-US" w:eastAsia="zh-CN"/>
        </w:rPr>
      </w:pPr>
      <w:r>
        <w:rPr>
          <w:rFonts w:hint="default"/>
          <w:lang w:val="en-US" w:eastAsia="zh-CN"/>
        </w:rPr>
        <w:t>实验表明，该网络实现了很高的识别性能（AUC为0.985和0.988，两种WSI模式的准确率分别为94.7%和96.1%，针对专家标记），并且在没有大型队列训练或利用域转移的情况下，性能优于最先进的方法。此外，新方法涉及独立的推理和融合过程，因此具有加快微观分析工作流程的巨大潜力。</w:t>
      </w:r>
    </w:p>
    <w:p>
      <w:pPr>
        <w:numPr>
          <w:ilvl w:val="0"/>
          <w:numId w:val="0"/>
        </w:numPr>
        <w:rPr>
          <w:rFonts w:hint="default"/>
          <w:lang w:val="en-US" w:eastAsia="zh-CN"/>
        </w:rPr>
      </w:pPr>
    </w:p>
    <w:p>
      <w:pPr>
        <w:rPr>
          <w:rFonts w:hint="eastAsia"/>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panose1 w:val="02010600030101010101"/>
    <w:charset w:val="86"/>
    <w:family w:val="auto"/>
    <w:pitch w:val="default"/>
    <w:sig w:usb0="A00002BF" w:usb1="38CF7CFA" w:usb2="00000016" w:usb3="00000000" w:csb0="0004000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13AF44DB"/>
    <w:multiLevelType w:val="multilevel"/>
    <w:tmpl w:val="13AF44DB"/>
    <w:lvl w:ilvl="0" w:tentative="0">
      <w:start w:val="1"/>
      <w:numFmt w:val="decimal"/>
      <w:lvlText w:val="%1."/>
      <w:lvlJc w:val="left"/>
      <w:pPr>
        <w:ind w:left="360" w:hanging="360"/>
      </w:pPr>
      <w:rPr>
        <w:rFonts w:hint="default"/>
      </w:rPr>
    </w:lvl>
    <w:lvl w:ilvl="1" w:tentative="0">
      <w:start w:val="1"/>
      <w:numFmt w:val="lowerLetter"/>
      <w:lvlText w:val="%2)"/>
      <w:lvlJc w:val="left"/>
      <w:pPr>
        <w:ind w:left="880" w:hanging="440"/>
      </w:pPr>
    </w:lvl>
    <w:lvl w:ilvl="2" w:tentative="0">
      <w:start w:val="1"/>
      <w:numFmt w:val="lowerRoman"/>
      <w:lvlText w:val="%3."/>
      <w:lvlJc w:val="right"/>
      <w:pPr>
        <w:ind w:left="1320" w:hanging="440"/>
      </w:pPr>
    </w:lvl>
    <w:lvl w:ilvl="3" w:tentative="0">
      <w:start w:val="1"/>
      <w:numFmt w:val="decimal"/>
      <w:lvlText w:val="%4."/>
      <w:lvlJc w:val="left"/>
      <w:pPr>
        <w:ind w:left="1760" w:hanging="440"/>
      </w:pPr>
    </w:lvl>
    <w:lvl w:ilvl="4" w:tentative="0">
      <w:start w:val="1"/>
      <w:numFmt w:val="lowerLetter"/>
      <w:lvlText w:val="%5)"/>
      <w:lvlJc w:val="left"/>
      <w:pPr>
        <w:ind w:left="2200" w:hanging="440"/>
      </w:pPr>
    </w:lvl>
    <w:lvl w:ilvl="5" w:tentative="0">
      <w:start w:val="1"/>
      <w:numFmt w:val="lowerRoman"/>
      <w:lvlText w:val="%6."/>
      <w:lvlJc w:val="right"/>
      <w:pPr>
        <w:ind w:left="2640" w:hanging="440"/>
      </w:pPr>
    </w:lvl>
    <w:lvl w:ilvl="6" w:tentative="0">
      <w:start w:val="1"/>
      <w:numFmt w:val="decimal"/>
      <w:lvlText w:val="%7."/>
      <w:lvlJc w:val="left"/>
      <w:pPr>
        <w:ind w:left="3080" w:hanging="440"/>
      </w:pPr>
    </w:lvl>
    <w:lvl w:ilvl="7" w:tentative="0">
      <w:start w:val="1"/>
      <w:numFmt w:val="lowerLetter"/>
      <w:lvlText w:val="%8)"/>
      <w:lvlJc w:val="left"/>
      <w:pPr>
        <w:ind w:left="3520" w:hanging="440"/>
      </w:pPr>
    </w:lvl>
    <w:lvl w:ilvl="8" w:tentative="0">
      <w:start w:val="1"/>
      <w:numFmt w:val="lowerRoman"/>
      <w:lvlText w:val="%9."/>
      <w:lvlJc w:val="right"/>
      <w:pPr>
        <w:ind w:left="3960" w:hanging="44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Y2Q1MDVmYmJlOTk0ZTYwYTVkNDA1ZjI5YTM5NTBmMDEifQ=="/>
    <w:docVar w:name="KSO_WPS_MARK_KEY" w:val="e0a0b7b6-927f-4bf6-ac6e-54191fdc1576"/>
  </w:docVars>
  <w:rsids>
    <w:rsidRoot w:val="00A30B27"/>
    <w:rsid w:val="00140CE8"/>
    <w:rsid w:val="001C0DC4"/>
    <w:rsid w:val="00482588"/>
    <w:rsid w:val="0057210B"/>
    <w:rsid w:val="00636154"/>
    <w:rsid w:val="00756A60"/>
    <w:rsid w:val="00886ED3"/>
    <w:rsid w:val="00892B7A"/>
    <w:rsid w:val="008B2914"/>
    <w:rsid w:val="00934EBD"/>
    <w:rsid w:val="00A07955"/>
    <w:rsid w:val="00A30B27"/>
    <w:rsid w:val="00A80E4F"/>
    <w:rsid w:val="00B14EE4"/>
    <w:rsid w:val="00CE1545"/>
    <w:rsid w:val="00D96C28"/>
    <w:rsid w:val="6C167044"/>
    <w:rsid w:val="7B5D12E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character" w:default="1" w:styleId="5">
    <w:name w:val="Default Paragraph Font"/>
    <w:semiHidden/>
    <w:unhideWhenUsed/>
    <w:qFormat/>
    <w:uiPriority w:val="1"/>
  </w:style>
  <w:style w:type="table" w:default="1" w:styleId="4">
    <w:name w:val="Normal Table"/>
    <w:semiHidden/>
    <w:unhideWhenUsed/>
    <w:uiPriority w:val="99"/>
    <w:tblPr>
      <w:tblCellMar>
        <w:top w:w="0" w:type="dxa"/>
        <w:left w:w="108" w:type="dxa"/>
        <w:bottom w:w="0" w:type="dxa"/>
        <w:right w:w="108" w:type="dxa"/>
      </w:tblCellMar>
    </w:tblPr>
  </w:style>
  <w:style w:type="paragraph" w:styleId="2">
    <w:name w:val="footer"/>
    <w:basedOn w:val="1"/>
    <w:link w:val="8"/>
    <w:unhideWhenUsed/>
    <w:uiPriority w:val="99"/>
    <w:pPr>
      <w:tabs>
        <w:tab w:val="center" w:pos="4153"/>
        <w:tab w:val="right" w:pos="8306"/>
      </w:tabs>
      <w:snapToGrid w:val="0"/>
      <w:jc w:val="left"/>
    </w:pPr>
    <w:rPr>
      <w:sz w:val="18"/>
      <w:szCs w:val="18"/>
    </w:rPr>
  </w:style>
  <w:style w:type="paragraph" w:styleId="3">
    <w:name w:val="header"/>
    <w:basedOn w:val="1"/>
    <w:link w:val="7"/>
    <w:unhideWhenUsed/>
    <w:uiPriority w:val="99"/>
    <w:pPr>
      <w:pBdr>
        <w:bottom w:val="single" w:color="auto" w:sz="6" w:space="1"/>
      </w:pBdr>
      <w:tabs>
        <w:tab w:val="center" w:pos="4153"/>
        <w:tab w:val="right" w:pos="8306"/>
      </w:tabs>
      <w:snapToGrid w:val="0"/>
      <w:jc w:val="center"/>
    </w:pPr>
    <w:rPr>
      <w:sz w:val="18"/>
      <w:szCs w:val="18"/>
    </w:rPr>
  </w:style>
  <w:style w:type="paragraph" w:styleId="6">
    <w:name w:val="List Paragraph"/>
    <w:basedOn w:val="1"/>
    <w:qFormat/>
    <w:uiPriority w:val="34"/>
    <w:pPr>
      <w:ind w:firstLine="420" w:firstLineChars="200"/>
    </w:pPr>
  </w:style>
  <w:style w:type="character" w:customStyle="1" w:styleId="7">
    <w:name w:val="页眉 字符"/>
    <w:basedOn w:val="5"/>
    <w:link w:val="3"/>
    <w:uiPriority w:val="99"/>
    <w:rPr>
      <w:sz w:val="18"/>
      <w:szCs w:val="18"/>
    </w:rPr>
  </w:style>
  <w:style w:type="character" w:customStyle="1" w:styleId="8">
    <w:name w:val="页脚 字符"/>
    <w:basedOn w:val="5"/>
    <w:link w:val="2"/>
    <w:uiPriority w:val="99"/>
    <w:rPr>
      <w:sz w:val="18"/>
      <w:szCs w:val="18"/>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4" Type="http://schemas.openxmlformats.org/officeDocument/2006/relationships/fontTable" Target="fontTable.xml"/><Relationship Id="rId23" Type="http://schemas.openxmlformats.org/officeDocument/2006/relationships/numbering" Target="numbering.xml"/><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13</Pages>
  <Words>4484</Words>
  <Characters>6119</Characters>
  <Lines>41</Lines>
  <Paragraphs>11</Paragraphs>
  <TotalTime>2</TotalTime>
  <ScaleCrop>false</ScaleCrop>
  <LinksUpToDate>false</LinksUpToDate>
  <CharactersWithSpaces>6357</CharactersWithSpaces>
  <Application>WPS Office_11.1.0.12970_F1E327BC-269C-435d-A152-05C5408002CA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2023-03-30T09:37:00Z</dcterms:created>
  <dc:creator>颂阳</dc:creator>
  <cp:lastModifiedBy>天のレクイエム</cp:lastModifiedBy>
  <dcterms:modified xsi:type="dcterms:W3CDTF">2023-03-30T17:19:31Z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2052-11.1.0.12970</vt:lpwstr>
  </property>
  <property fmtid="{D5CDD505-2E9C-101B-9397-08002B2CF9AE}" pid="3" name="ICV">
    <vt:lpwstr>18C5706E0A5647739A9C540932CD68C0</vt:lpwstr>
  </property>
</Properties>
</file>